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969A8">
      <w:pPr>
        <w:pStyle w:val="2"/>
        <w:widowControl/>
        <w:shd w:val="clear" w:color="auto" w:fill="FFFFFF"/>
        <w:spacing w:beforeAutospacing="0" w:afterAutospacing="0" w:line="23" w:lineRule="atLeast"/>
        <w:jc w:val="center"/>
        <w:rPr>
          <w:rFonts w:hint="eastAsia" w:cs="宋体"/>
          <w:spacing w:val="3"/>
          <w:kern w:val="2"/>
          <w:position w:val="19"/>
          <w:sz w:val="32"/>
          <w:szCs w:val="32"/>
          <w:lang w:val="en-US" w:eastAsia="zh-CN"/>
        </w:rPr>
      </w:pPr>
      <w:r>
        <w:rPr>
          <w:rFonts w:hint="eastAsia" w:cs="宋体"/>
          <w:spacing w:val="3"/>
          <w:kern w:val="2"/>
          <w:position w:val="19"/>
          <w:sz w:val="32"/>
          <w:szCs w:val="32"/>
          <w:lang w:val="en-US" w:eastAsia="zh-CN"/>
        </w:rPr>
        <w:t>海南省儿童青少年心理健康医学中心运营设备采购项目</w:t>
      </w:r>
    </w:p>
    <w:p w14:paraId="4FF90E61">
      <w:pPr>
        <w:pStyle w:val="2"/>
        <w:widowControl/>
        <w:shd w:val="clear" w:color="auto" w:fill="FFFFFF"/>
        <w:spacing w:beforeAutospacing="0" w:afterAutospacing="0" w:line="23" w:lineRule="atLeast"/>
        <w:jc w:val="center"/>
        <w:rPr>
          <w:rFonts w:cs="宋体"/>
          <w:spacing w:val="3"/>
          <w:kern w:val="2"/>
          <w:position w:val="19"/>
          <w:sz w:val="32"/>
          <w:szCs w:val="32"/>
        </w:rPr>
      </w:pPr>
      <w:r>
        <w:rPr>
          <w:rFonts w:cs="宋体"/>
          <w:spacing w:val="3"/>
          <w:kern w:val="2"/>
          <w:position w:val="19"/>
          <w:sz w:val="32"/>
          <w:szCs w:val="32"/>
        </w:rPr>
        <w:t>采购需求</w:t>
      </w:r>
    </w:p>
    <w:p w14:paraId="0CBD6A42">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eastAsia" w:ascii="黑体" w:hAnsi="黑体" w:eastAsia="黑体" w:cs="黑体"/>
          <w:sz w:val="24"/>
        </w:rPr>
      </w:pPr>
      <w:r>
        <w:rPr>
          <w:rFonts w:hint="eastAsia" w:ascii="黑体" w:hAnsi="黑体" w:eastAsia="黑体" w:cs="黑体"/>
          <w:sz w:val="24"/>
        </w:rPr>
        <w:t>一、采购项目概况</w:t>
      </w:r>
    </w:p>
    <w:p w14:paraId="7E4041F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rPr>
        <w:t>（一）项目名称：</w:t>
      </w:r>
      <w:r>
        <w:rPr>
          <w:rFonts w:hint="eastAsia" w:ascii="宋体" w:hAnsi="宋体" w:eastAsia="宋体" w:cs="宋体"/>
          <w:sz w:val="24"/>
          <w:lang w:val="en-US" w:eastAsia="zh-CN"/>
        </w:rPr>
        <w:t>海南省儿童青少年心理健康医学中心运营设备采购项目</w:t>
      </w:r>
    </w:p>
    <w:p w14:paraId="66491FBE">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eastAsia" w:ascii="宋体" w:hAnsi="宋体" w:eastAsia="宋体" w:cs="宋体"/>
          <w:sz w:val="24"/>
        </w:rPr>
      </w:pPr>
      <w:r>
        <w:rPr>
          <w:rFonts w:hint="eastAsia" w:ascii="宋体" w:hAnsi="宋体" w:eastAsia="宋体" w:cs="宋体"/>
          <w:sz w:val="24"/>
        </w:rPr>
        <w:t>（二）预算金额：</w:t>
      </w:r>
      <w:r>
        <w:rPr>
          <w:rFonts w:hint="eastAsia" w:ascii="宋体" w:hAnsi="宋体" w:eastAsia="宋体" w:cs="宋体"/>
          <w:sz w:val="24"/>
          <w:lang w:val="en-US" w:eastAsia="zh-CN"/>
        </w:rPr>
        <w:t>17.61万</w:t>
      </w:r>
      <w:r>
        <w:rPr>
          <w:rFonts w:hint="eastAsia" w:ascii="宋体" w:hAnsi="宋体" w:eastAsia="宋体" w:cs="宋体"/>
          <w:sz w:val="24"/>
        </w:rPr>
        <w:t>元（超预算报价无效）</w:t>
      </w:r>
    </w:p>
    <w:p w14:paraId="39B606B5">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eastAsia" w:ascii="宋体" w:hAnsi="宋体" w:eastAsia="宋体" w:cs="宋体"/>
          <w:sz w:val="24"/>
        </w:rPr>
      </w:pPr>
      <w:r>
        <w:rPr>
          <w:rFonts w:hint="eastAsia" w:ascii="宋体" w:hAnsi="宋体" w:eastAsia="宋体" w:cs="宋体"/>
          <w:sz w:val="24"/>
        </w:rPr>
        <w:t>（三）采购方式：</w:t>
      </w:r>
      <w:r>
        <w:rPr>
          <w:rFonts w:hint="eastAsia" w:ascii="宋体" w:hAnsi="宋体" w:eastAsia="宋体" w:cs="宋体"/>
          <w:sz w:val="24"/>
          <w:lang w:val="en-US" w:eastAsia="zh-CN"/>
        </w:rPr>
        <w:t>院内比选（综合评分，一次报价）</w:t>
      </w:r>
    </w:p>
    <w:p w14:paraId="211AE547">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default" w:ascii="宋体" w:hAnsi="宋体" w:eastAsia="宋体" w:cs="宋体"/>
          <w:sz w:val="24"/>
          <w:lang w:val="en-US" w:eastAsia="zh-CN"/>
        </w:rPr>
      </w:pPr>
      <w:r>
        <w:rPr>
          <w:rFonts w:hint="eastAsia" w:ascii="宋体" w:hAnsi="宋体" w:eastAsia="宋体" w:cs="宋体"/>
          <w:sz w:val="24"/>
        </w:rPr>
        <w:t>（四）交付期：自合同签订之日起</w:t>
      </w:r>
      <w:r>
        <w:rPr>
          <w:rFonts w:hint="eastAsia" w:ascii="宋体" w:hAnsi="宋体" w:eastAsia="宋体" w:cs="宋体"/>
          <w:sz w:val="24"/>
          <w:lang w:val="en-US" w:eastAsia="zh-CN"/>
        </w:rPr>
        <w:t>15</w:t>
      </w:r>
      <w:r>
        <w:rPr>
          <w:rFonts w:hint="eastAsia" w:ascii="宋体" w:hAnsi="宋体" w:eastAsia="宋体" w:cs="宋体"/>
          <w:sz w:val="24"/>
        </w:rPr>
        <w:t>个日历天。</w:t>
      </w:r>
    </w:p>
    <w:p w14:paraId="0BC24A27">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eastAsia" w:ascii="黑体" w:hAnsi="黑体" w:eastAsia="黑体" w:cs="黑体"/>
          <w:sz w:val="24"/>
        </w:rPr>
      </w:pPr>
      <w:r>
        <w:rPr>
          <w:rFonts w:hint="eastAsia" w:ascii="黑体" w:hAnsi="黑体" w:eastAsia="黑体" w:cs="黑体"/>
          <w:sz w:val="24"/>
        </w:rPr>
        <w:t>二、资格要求</w:t>
      </w:r>
    </w:p>
    <w:p w14:paraId="6793402D">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eastAsia" w:ascii="宋体" w:hAnsi="宋体" w:eastAsia="宋体" w:cs="宋体"/>
          <w:sz w:val="24"/>
        </w:rPr>
      </w:pPr>
      <w:r>
        <w:rPr>
          <w:rFonts w:hint="eastAsia" w:ascii="宋体" w:hAnsi="宋体" w:eastAsia="宋体" w:cs="宋体"/>
          <w:sz w:val="24"/>
        </w:rPr>
        <w:t>1.（1）如供应商不是所投货物的生产厂家，属于三类医疗器械的供应商须具有医疗器械经营企业许可证，属于二类医疗器械的供应商须具有医疗器械经营企业备案登记凭证。（提供清晰证书复印件，加盖公章）（2）所投货物属于二、三类医疗器械产品的须具有医疗器械注册证、医疗器械生产许可证，属于一类医疗器械产品的须具有产品备案登记凭证、生产企业备案登记凭证。（提供清晰证书复印件，加盖公章）</w:t>
      </w:r>
      <w:bookmarkStart w:id="0" w:name="_bookmark12"/>
      <w:bookmarkEnd w:id="0"/>
      <w:bookmarkStart w:id="1" w:name="_Hlk138602872"/>
    </w:p>
    <w:p w14:paraId="155A9C72">
      <w:pPr>
        <w:keepNext w:val="0"/>
        <w:keepLines w:val="0"/>
        <w:pageBreakBefore w:val="0"/>
        <w:widowControl/>
        <w:kinsoku/>
        <w:wordWrap/>
        <w:overflowPunct/>
        <w:topLinePunct w:val="0"/>
        <w:autoSpaceDE/>
        <w:autoSpaceDN/>
        <w:bidi w:val="0"/>
        <w:spacing w:line="400" w:lineRule="exact"/>
        <w:ind w:firstLine="480" w:firstLineChars="200"/>
        <w:jc w:val="left"/>
        <w:textAlignment w:val="center"/>
        <w:rPr>
          <w:rFonts w:hint="eastAsia" w:ascii="黑体" w:hAnsi="黑体" w:eastAsia="黑体" w:cs="黑体"/>
          <w:sz w:val="24"/>
        </w:rPr>
      </w:pPr>
      <w:r>
        <w:rPr>
          <w:rFonts w:hint="eastAsia" w:ascii="黑体" w:hAnsi="黑体" w:eastAsia="黑体" w:cs="黑体"/>
          <w:sz w:val="24"/>
        </w:rPr>
        <w:t>三、采购需求</w:t>
      </w:r>
    </w:p>
    <w:bookmarkEnd w:id="1"/>
    <w:tbl>
      <w:tblPr>
        <w:tblStyle w:val="14"/>
        <w:tblW w:w="51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2809"/>
        <w:gridCol w:w="1599"/>
        <w:gridCol w:w="1160"/>
        <w:gridCol w:w="2430"/>
        <w:gridCol w:w="1029"/>
      </w:tblGrid>
      <w:tr w14:paraId="54F1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15" w:type="pct"/>
            <w:vAlign w:val="center"/>
          </w:tcPr>
          <w:p w14:paraId="329B2E59">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序号</w:t>
            </w:r>
          </w:p>
        </w:tc>
        <w:tc>
          <w:tcPr>
            <w:tcW w:w="1395" w:type="pct"/>
            <w:vAlign w:val="center"/>
          </w:tcPr>
          <w:p w14:paraId="29F52F8E">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产品名称</w:t>
            </w:r>
          </w:p>
        </w:tc>
        <w:tc>
          <w:tcPr>
            <w:tcW w:w="794" w:type="pct"/>
            <w:vAlign w:val="center"/>
          </w:tcPr>
          <w:p w14:paraId="4314EF18">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计量单位</w:t>
            </w:r>
          </w:p>
        </w:tc>
        <w:tc>
          <w:tcPr>
            <w:tcW w:w="576" w:type="pct"/>
            <w:vAlign w:val="center"/>
          </w:tcPr>
          <w:p w14:paraId="19C7FCCC">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数量</w:t>
            </w:r>
          </w:p>
        </w:tc>
        <w:tc>
          <w:tcPr>
            <w:tcW w:w="1207" w:type="pct"/>
            <w:vAlign w:val="center"/>
          </w:tcPr>
          <w:p w14:paraId="6BB00645">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最高单价限价</w:t>
            </w:r>
          </w:p>
          <w:p w14:paraId="3E62609A">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万</w:t>
            </w:r>
            <w:r>
              <w:rPr>
                <w:rFonts w:hint="eastAsia" w:ascii="宋体" w:hAnsi="宋体" w:eastAsia="宋体" w:cs="宋体"/>
                <w:b/>
                <w:sz w:val="22"/>
                <w:szCs w:val="22"/>
              </w:rPr>
              <w:t>元）</w:t>
            </w:r>
          </w:p>
        </w:tc>
        <w:tc>
          <w:tcPr>
            <w:tcW w:w="511" w:type="pct"/>
            <w:vAlign w:val="center"/>
          </w:tcPr>
          <w:p w14:paraId="08924DA5">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备注</w:t>
            </w:r>
          </w:p>
        </w:tc>
      </w:tr>
      <w:tr w14:paraId="3EFF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469CD2B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w:t>
            </w:r>
          </w:p>
        </w:tc>
        <w:tc>
          <w:tcPr>
            <w:tcW w:w="1395" w:type="pct"/>
            <w:vAlign w:val="center"/>
          </w:tcPr>
          <w:p w14:paraId="7B8EDB4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体感音乐放松系统</w:t>
            </w:r>
          </w:p>
        </w:tc>
        <w:tc>
          <w:tcPr>
            <w:tcW w:w="794" w:type="pct"/>
            <w:vAlign w:val="center"/>
          </w:tcPr>
          <w:p w14:paraId="1D57AEF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576" w:type="pct"/>
            <w:vAlign w:val="center"/>
          </w:tcPr>
          <w:p w14:paraId="431A87F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1207" w:type="pct"/>
            <w:vAlign w:val="center"/>
          </w:tcPr>
          <w:p w14:paraId="69160D7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Cs/>
                <w:sz w:val="22"/>
                <w:szCs w:val="22"/>
              </w:rPr>
            </w:pPr>
            <w:r>
              <w:rPr>
                <w:rFonts w:hint="eastAsia" w:ascii="宋体" w:hAnsi="宋体" w:eastAsia="宋体" w:cs="宋体"/>
                <w:i w:val="0"/>
                <w:iCs w:val="0"/>
                <w:color w:val="000000"/>
                <w:kern w:val="0"/>
                <w:sz w:val="24"/>
                <w:szCs w:val="24"/>
                <w:u w:val="none"/>
                <w:lang w:val="en-US" w:eastAsia="zh-CN" w:bidi="ar"/>
              </w:rPr>
              <w:t xml:space="preserve">4.97 </w:t>
            </w:r>
          </w:p>
        </w:tc>
        <w:tc>
          <w:tcPr>
            <w:tcW w:w="511" w:type="pct"/>
            <w:vAlign w:val="center"/>
          </w:tcPr>
          <w:p w14:paraId="2EC754D1">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2"/>
                <w:szCs w:val="22"/>
              </w:rPr>
            </w:pPr>
          </w:p>
        </w:tc>
      </w:tr>
      <w:tr w14:paraId="48FE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19A1C86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1395" w:type="pct"/>
            <w:vAlign w:val="center"/>
          </w:tcPr>
          <w:p w14:paraId="7149EDC7">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宋体" w:hAnsi="宋体" w:eastAsia="宋体" w:cs="宋体"/>
                <w:kern w:val="0"/>
                <w:sz w:val="24"/>
                <w:lang w:bidi="ar"/>
              </w:rPr>
            </w:pPr>
            <w:r>
              <w:rPr>
                <w:rFonts w:hint="eastAsia" w:ascii="宋体" w:hAnsi="宋体" w:eastAsia="宋体" w:cs="宋体"/>
                <w:i w:val="0"/>
                <w:iCs w:val="0"/>
                <w:color w:val="000000"/>
                <w:kern w:val="0"/>
                <w:sz w:val="22"/>
                <w:szCs w:val="22"/>
                <w:u w:val="none"/>
                <w:lang w:val="en-US" w:eastAsia="zh-CN" w:bidi="ar"/>
              </w:rPr>
              <w:t>仿真发声宣泄人</w:t>
            </w:r>
          </w:p>
        </w:tc>
        <w:tc>
          <w:tcPr>
            <w:tcW w:w="794" w:type="pct"/>
            <w:vAlign w:val="center"/>
          </w:tcPr>
          <w:p w14:paraId="44A1460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576" w:type="pct"/>
            <w:vAlign w:val="center"/>
          </w:tcPr>
          <w:p w14:paraId="194DF85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1207" w:type="pct"/>
            <w:vAlign w:val="center"/>
          </w:tcPr>
          <w:p w14:paraId="759FE15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4"/>
                <w:szCs w:val="24"/>
                <w:u w:val="none"/>
                <w:lang w:val="en-US" w:eastAsia="zh-CN" w:bidi="ar"/>
              </w:rPr>
              <w:t xml:space="preserve">1.34 </w:t>
            </w:r>
          </w:p>
        </w:tc>
        <w:tc>
          <w:tcPr>
            <w:tcW w:w="511" w:type="pct"/>
            <w:vAlign w:val="center"/>
          </w:tcPr>
          <w:p w14:paraId="7C12C8A6">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2"/>
                <w:szCs w:val="22"/>
              </w:rPr>
            </w:pPr>
          </w:p>
        </w:tc>
      </w:tr>
      <w:tr w14:paraId="0E62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2FC72D1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w:t>
            </w:r>
          </w:p>
        </w:tc>
        <w:tc>
          <w:tcPr>
            <w:tcW w:w="1395" w:type="pct"/>
            <w:vAlign w:val="center"/>
          </w:tcPr>
          <w:p w14:paraId="7A7D79F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宋体" w:hAnsi="宋体" w:eastAsia="宋体" w:cs="宋体"/>
                <w:kern w:val="0"/>
                <w:sz w:val="24"/>
                <w:lang w:bidi="ar"/>
              </w:rPr>
            </w:pPr>
            <w:r>
              <w:rPr>
                <w:rFonts w:hint="eastAsia" w:ascii="宋体" w:hAnsi="宋体" w:eastAsia="宋体" w:cs="宋体"/>
                <w:i w:val="0"/>
                <w:iCs w:val="0"/>
                <w:color w:val="000000"/>
                <w:kern w:val="0"/>
                <w:sz w:val="22"/>
                <w:szCs w:val="22"/>
                <w:u w:val="none"/>
                <w:lang w:val="en-US" w:eastAsia="zh-CN" w:bidi="ar"/>
              </w:rPr>
              <w:t>智能体感互动宣泄系统</w:t>
            </w:r>
          </w:p>
        </w:tc>
        <w:tc>
          <w:tcPr>
            <w:tcW w:w="794" w:type="pct"/>
            <w:vAlign w:val="center"/>
          </w:tcPr>
          <w:p w14:paraId="77D17D5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576" w:type="pct"/>
            <w:vAlign w:val="center"/>
          </w:tcPr>
          <w:p w14:paraId="1B63D7A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w:t>
            </w:r>
          </w:p>
        </w:tc>
        <w:tc>
          <w:tcPr>
            <w:tcW w:w="1207" w:type="pct"/>
            <w:vAlign w:val="center"/>
          </w:tcPr>
          <w:p w14:paraId="77E7329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4"/>
                <w:szCs w:val="24"/>
                <w:u w:val="none"/>
                <w:lang w:val="en-US" w:eastAsia="zh-CN" w:bidi="ar"/>
              </w:rPr>
              <w:t xml:space="preserve">5.00 </w:t>
            </w:r>
          </w:p>
        </w:tc>
        <w:tc>
          <w:tcPr>
            <w:tcW w:w="511" w:type="pct"/>
            <w:vAlign w:val="center"/>
          </w:tcPr>
          <w:p w14:paraId="7A8EB481">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2"/>
                <w:szCs w:val="22"/>
              </w:rPr>
            </w:pPr>
          </w:p>
        </w:tc>
      </w:tr>
    </w:tbl>
    <w:p w14:paraId="0D185A7F">
      <w:pPr>
        <w:keepNext w:val="0"/>
        <w:keepLines w:val="0"/>
        <w:pageBreakBefore w:val="0"/>
        <w:kinsoku/>
        <w:wordWrap/>
        <w:overflowPunct/>
        <w:topLinePunct w:val="0"/>
        <w:autoSpaceDE/>
        <w:autoSpaceDN/>
        <w:bidi w:val="0"/>
        <w:spacing w:line="400" w:lineRule="exact"/>
        <w:ind w:firstLine="480" w:firstLineChars="200"/>
        <w:rPr>
          <w:rFonts w:hint="eastAsia" w:ascii="黑体" w:hAnsi="黑体" w:eastAsia="黑体" w:cs="黑体"/>
          <w:sz w:val="24"/>
        </w:rPr>
      </w:pPr>
      <w:r>
        <w:rPr>
          <w:rFonts w:hint="eastAsia" w:ascii="黑体" w:hAnsi="黑体" w:eastAsia="黑体" w:cs="黑体"/>
          <w:sz w:val="24"/>
        </w:rPr>
        <w:t>四、技术要求</w:t>
      </w:r>
    </w:p>
    <w:p w14:paraId="02DF89D0">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bCs/>
          <w:sz w:val="24"/>
        </w:rPr>
      </w:pPr>
      <w:r>
        <w:rPr>
          <w:rFonts w:hint="eastAsia" w:ascii="宋体" w:hAnsi="宋体" w:eastAsia="宋体" w:cs="宋体"/>
          <w:b/>
          <w:bCs/>
          <w:sz w:val="24"/>
        </w:rPr>
        <w:t>（一）体感音乐放松系统：</w:t>
      </w:r>
    </w:p>
    <w:p w14:paraId="7E50EB03">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 系统参数</w:t>
      </w:r>
    </w:p>
    <w:p w14:paraId="6EDEA96B">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1.1 ▲健康检测：具有精确的脉搏数据检测，依据心率变异性分析理论（HRV），可快速准确地评估身心健康状况并给出调养意见；检测报告包括如下数据：RRmean、SDNN、CV、DRR、RMSSD、SDSD、PNN50、NN50、LF/HF、LFNorm、HFNorm、RR间期直方图、RR间期散点图、自主神经平衡图、压力指数、疲劳指数、情绪指数、稳定指数、评价与建议、推荐调养项目</w:t>
      </w:r>
    </w:p>
    <w:p w14:paraId="4C8DE162">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1.2 ▲调养中心</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包括但不限于</w:t>
      </w:r>
      <w:r>
        <w:rPr>
          <w:rFonts w:hint="eastAsia" w:ascii="宋体" w:hAnsi="宋体" w:eastAsia="宋体" w:cs="宋体"/>
          <w:b w:val="0"/>
          <w:bCs w:val="0"/>
          <w:sz w:val="24"/>
        </w:rPr>
        <w:t>减压调养、高效放松、呼吸训练、音乐调适</w:t>
      </w:r>
      <w:r>
        <w:rPr>
          <w:rFonts w:hint="eastAsia" w:ascii="宋体" w:hAnsi="宋体" w:eastAsia="宋体" w:cs="宋体"/>
          <w:b w:val="0"/>
          <w:bCs w:val="0"/>
          <w:sz w:val="24"/>
          <w:lang w:val="en-US" w:eastAsia="zh-CN"/>
        </w:rPr>
        <w:t>等</w:t>
      </w:r>
      <w:r>
        <w:rPr>
          <w:rFonts w:hint="eastAsia" w:ascii="宋体" w:hAnsi="宋体" w:eastAsia="宋体" w:cs="宋体"/>
          <w:b w:val="0"/>
          <w:bCs w:val="0"/>
          <w:sz w:val="24"/>
        </w:rPr>
        <w:t>调养项目；</w:t>
      </w:r>
    </w:p>
    <w:p w14:paraId="5A18BFCA">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1.3 ▲减压调养</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包括但不限于</w:t>
      </w:r>
      <w:r>
        <w:rPr>
          <w:rFonts w:hint="eastAsia" w:ascii="宋体" w:hAnsi="宋体" w:eastAsia="宋体" w:cs="宋体"/>
          <w:b w:val="0"/>
          <w:bCs w:val="0"/>
          <w:sz w:val="24"/>
        </w:rPr>
        <w:t>肌肉放松、想象放松、精力恢复、消除焦虑、深度减压、催眠释压、身心合一七个子调养项目，针对不同环境、不同场合下的放松需求，在引导语、脑波背景音乐的共同作用下，实现减压的效果；</w:t>
      </w:r>
    </w:p>
    <w:p w14:paraId="2F0436DE">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1.4 高效放松</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包括但不限于</w:t>
      </w:r>
      <w:r>
        <w:rPr>
          <w:rFonts w:hint="eastAsia" w:ascii="宋体" w:hAnsi="宋体" w:eastAsia="宋体" w:cs="宋体"/>
          <w:b w:val="0"/>
          <w:bCs w:val="0"/>
          <w:sz w:val="24"/>
        </w:rPr>
        <w:t>荷花绽放、孔雀开屏、沙漠绿洲、菩提生长四个子调养项目，当身心稳定指数正常时，动画给予正向的积极反馈，当身心稳定指数过小时，动画给予反向的负性反馈，共有两级训练难度，实现科学的闭环训练；</w:t>
      </w:r>
    </w:p>
    <w:p w14:paraId="2C16A840">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1.5 ▲呼吸训练</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包括但不限于</w:t>
      </w:r>
      <w:r>
        <w:rPr>
          <w:rFonts w:hint="eastAsia" w:ascii="宋体" w:hAnsi="宋体" w:eastAsia="宋体" w:cs="宋体"/>
          <w:b w:val="0"/>
          <w:bCs w:val="0"/>
          <w:sz w:val="24"/>
        </w:rPr>
        <w:t>实物辅助呼吸训练、鼻腔呼吸训练，学会科学的呼吸法，是健康检测及调养放松前的准备调整训练；</w:t>
      </w:r>
    </w:p>
    <w:p w14:paraId="619BB6D4">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1.6 音乐调适</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包括但不限于</w:t>
      </w:r>
      <w:r>
        <w:rPr>
          <w:rFonts w:hint="eastAsia" w:ascii="宋体" w:hAnsi="宋体" w:eastAsia="宋体" w:cs="宋体"/>
          <w:b w:val="0"/>
          <w:bCs w:val="0"/>
          <w:sz w:val="24"/>
        </w:rPr>
        <w:t>多首α脑波音乐、五行音乐、催眠音乐等；</w:t>
      </w:r>
    </w:p>
    <w:p w14:paraId="0768AD6B">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1.7 音乐疗法（Music Therapy）</w:t>
      </w:r>
      <w:r>
        <w:rPr>
          <w:rFonts w:hint="eastAsia" w:ascii="宋体" w:hAnsi="宋体" w:eastAsia="宋体" w:cs="宋体"/>
          <w:b w:val="0"/>
          <w:bCs w:val="0"/>
          <w:sz w:val="24"/>
          <w:lang w:eastAsia="zh-CN"/>
        </w:rPr>
        <w:t>：</w:t>
      </w:r>
      <w:r>
        <w:rPr>
          <w:rFonts w:hint="eastAsia" w:ascii="宋体" w:hAnsi="宋体" w:eastAsia="宋体" w:cs="宋体"/>
          <w:b w:val="0"/>
          <w:bCs w:val="0"/>
          <w:sz w:val="24"/>
        </w:rPr>
        <w:t>现代科学研究表明，音乐疗法可通过音乐直接作用于大脑皮质、丘脑下部、边缘系统，产生放松感，改善身体不良反应，缓解紧张焦虑，使人体能恢复正常状态。</w:t>
      </w:r>
    </w:p>
    <w:p w14:paraId="646FBCEA">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1.8 心理生理学（Psychophysiology）</w:t>
      </w:r>
      <w:r>
        <w:rPr>
          <w:rFonts w:hint="eastAsia" w:ascii="宋体" w:hAnsi="宋体" w:eastAsia="宋体" w:cs="宋体"/>
          <w:b w:val="0"/>
          <w:bCs w:val="0"/>
          <w:sz w:val="24"/>
          <w:lang w:eastAsia="zh-CN"/>
        </w:rPr>
        <w:t>：</w:t>
      </w:r>
      <w:r>
        <w:rPr>
          <w:rFonts w:hint="eastAsia" w:ascii="宋体" w:hAnsi="宋体" w:eastAsia="宋体" w:cs="宋体"/>
          <w:b w:val="0"/>
          <w:bCs w:val="0"/>
          <w:sz w:val="24"/>
        </w:rPr>
        <w:t>目前心理生理学认为当身体引发放松的情绪反应时，必然伴随着自主神经系统一系列生理指标的变化，如呼吸均匀、心跳减慢、血压下降、脑波α波增多、皮温、皮肤电阻值降低等。</w:t>
      </w:r>
    </w:p>
    <w:p w14:paraId="16F6A195">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1.9 催眠引导（HypnoticGuide）</w:t>
      </w:r>
      <w:r>
        <w:rPr>
          <w:rFonts w:hint="eastAsia" w:ascii="宋体" w:hAnsi="宋体" w:eastAsia="宋体" w:cs="宋体"/>
          <w:b w:val="0"/>
          <w:bCs w:val="0"/>
          <w:sz w:val="24"/>
          <w:lang w:eastAsia="zh-CN"/>
        </w:rPr>
        <w:t>：</w:t>
      </w:r>
      <w:r>
        <w:rPr>
          <w:rFonts w:hint="eastAsia" w:ascii="宋体" w:hAnsi="宋体" w:eastAsia="宋体" w:cs="宋体"/>
          <w:b w:val="0"/>
          <w:bCs w:val="0"/>
          <w:sz w:val="24"/>
        </w:rPr>
        <w:t>浅度催眠状态进行心理治疗效果最好，在此状态下，咨询辅导人员的暗示语所产生的效应要比清醒时大得多，暗示引起的意象会更有威力，作用到潜意识会更强更持久。</w:t>
      </w:r>
    </w:p>
    <w:p w14:paraId="60A67EF0">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2 功能特点</w:t>
      </w:r>
    </w:p>
    <w:p w14:paraId="73A29B65">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2.1 专业的引导语、脑波背景音乐实现减压效果</w:t>
      </w:r>
    </w:p>
    <w:p w14:paraId="035BB0CD">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2.2 科学的身心减压放松</w:t>
      </w:r>
      <w:r>
        <w:rPr>
          <w:rFonts w:hint="eastAsia" w:ascii="宋体" w:hAnsi="宋体" w:eastAsia="宋体" w:cs="宋体"/>
          <w:b w:val="0"/>
          <w:bCs w:val="0"/>
          <w:sz w:val="24"/>
          <w:lang w:eastAsia="zh-CN"/>
        </w:rPr>
        <w:t>：</w:t>
      </w:r>
      <w:r>
        <w:rPr>
          <w:rFonts w:hint="eastAsia" w:ascii="宋体" w:hAnsi="宋体" w:eastAsia="宋体" w:cs="宋体"/>
          <w:b w:val="0"/>
          <w:bCs w:val="0"/>
          <w:sz w:val="24"/>
        </w:rPr>
        <w:t>专业放松训练、α波音乐放松、纯音乐放松</w:t>
      </w:r>
    </w:p>
    <w:p w14:paraId="374AD9FC">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2.3 独创的辅助催眠引导</w:t>
      </w:r>
    </w:p>
    <w:p w14:paraId="5751CC1A">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2.4 智能设定放松时间、l智能确定放松指导语、放松效果实时反馈、放松曲目智能切换、动态智能记忆曲库、曲目切换淡入淡出、GS重力感应启动控制、一键式指纹注册、登录、真人语音操作引导、音乐体感随动、非接触遮光调节、碳纤可调安全加热</w:t>
      </w:r>
      <w:r>
        <w:rPr>
          <w:rFonts w:hint="eastAsia" w:ascii="宋体" w:hAnsi="宋体" w:eastAsia="宋体" w:cs="宋体"/>
          <w:b w:val="0"/>
          <w:bCs w:val="0"/>
          <w:sz w:val="24"/>
          <w:lang w:val="en-US" w:eastAsia="zh-CN"/>
        </w:rPr>
        <w:t>等</w:t>
      </w:r>
      <w:r>
        <w:rPr>
          <w:rFonts w:hint="eastAsia" w:ascii="宋体" w:hAnsi="宋体" w:eastAsia="宋体" w:cs="宋体"/>
          <w:b w:val="0"/>
          <w:bCs w:val="0"/>
          <w:sz w:val="24"/>
        </w:rPr>
        <w:t>。</w:t>
      </w:r>
    </w:p>
    <w:p w14:paraId="699FC883">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二）、配置清单</w:t>
      </w:r>
    </w:p>
    <w:p w14:paraId="3C2ED448">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序号 配置清单 数量</w:t>
      </w:r>
    </w:p>
    <w:p w14:paraId="4829F426">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1</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系统软件 1套</w:t>
      </w:r>
    </w:p>
    <w:p w14:paraId="02B1563E">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2</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主机（平板配置</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10.1英寸，</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4+64G，</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8核，Type-C口） 1台</w:t>
      </w:r>
    </w:p>
    <w:p w14:paraId="33D3D26E">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3</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专用平板电脑支架（合金平板电脑支架，万向旋转） 1个</w:t>
      </w:r>
    </w:p>
    <w:p w14:paraId="53075921">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4</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多功能减压放松椅 1台</w:t>
      </w:r>
    </w:p>
    <w:p w14:paraId="4419FC94">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5</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高精度采集器 1哥</w:t>
      </w:r>
    </w:p>
    <w:p w14:paraId="7D99ADE9">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rPr>
      </w:pPr>
      <w:r>
        <w:rPr>
          <w:rFonts w:hint="eastAsia" w:ascii="宋体" w:hAnsi="宋体" w:eastAsia="宋体" w:cs="宋体"/>
          <w:b w:val="0"/>
          <w:bCs w:val="0"/>
          <w:sz w:val="24"/>
        </w:rPr>
        <w:t>6</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电源线 1付</w:t>
      </w:r>
    </w:p>
    <w:p w14:paraId="250B980B">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bCs/>
          <w:sz w:val="24"/>
          <w:lang w:eastAsia="zh-CN"/>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二</w:t>
      </w:r>
      <w:r>
        <w:rPr>
          <w:rFonts w:hint="eastAsia" w:ascii="宋体" w:hAnsi="宋体" w:eastAsia="宋体" w:cs="宋体"/>
          <w:b/>
          <w:bCs/>
          <w:sz w:val="24"/>
          <w:lang w:eastAsia="zh-CN"/>
        </w:rPr>
        <w:t>）仿真宣泄人（可说话版）：</w:t>
      </w:r>
    </w:p>
    <w:p w14:paraId="4FC4607E">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宣泄功能:通过肌体动作宣泄，能够有效分散注意力，化解不良情绪；将心底深处压抑的情绪宣泄出来，有非常好的心理疏导作用。</w:t>
      </w:r>
    </w:p>
    <w:p w14:paraId="084A0557">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技术参数:</w:t>
      </w:r>
    </w:p>
    <w:p w14:paraId="14D8D876">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1、宣泄人 1 个，仿真人形，宣泄主体和固定底座两部分组成。内层为高回弹材料填充，外层高密度环保 PU，抗击打，耐变形，具有无反弹无抵触的优点，底座可以充水或充沙。宣泄人高度≥170cm，外套为三层复合布设计，弹性好、耐击打。可任选蓝色和红色。</w:t>
      </w:r>
    </w:p>
    <w:p w14:paraId="77B56BE2">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2、宣泄人胳膊长度：≥21cm。底座高度为 ：70cm</w:t>
      </w:r>
      <w:r>
        <w:rPr>
          <w:rFonts w:hint="eastAsia" w:ascii="宋体" w:hAnsi="宋体" w:eastAsia="宋体" w:cs="宋体"/>
          <w:b w:val="0"/>
          <w:bCs w:val="0"/>
          <w:sz w:val="24"/>
          <w:lang w:val="en-US" w:eastAsia="zh-CN"/>
        </w:rPr>
        <w:t>±5mm</w:t>
      </w:r>
      <w:r>
        <w:rPr>
          <w:rFonts w:hint="eastAsia" w:ascii="宋体" w:hAnsi="宋体" w:eastAsia="宋体" w:cs="宋体"/>
          <w:b w:val="0"/>
          <w:bCs w:val="0"/>
          <w:sz w:val="24"/>
          <w:lang w:eastAsia="zh-CN"/>
        </w:rPr>
        <w:t>，直径为： 55cm</w:t>
      </w:r>
      <w:r>
        <w:rPr>
          <w:rFonts w:hint="eastAsia" w:ascii="宋体" w:hAnsi="宋体" w:eastAsia="宋体" w:cs="宋体"/>
          <w:b w:val="0"/>
          <w:bCs w:val="0"/>
          <w:sz w:val="24"/>
          <w:lang w:val="en-US" w:eastAsia="zh-CN"/>
        </w:rPr>
        <w:t>±5mm</w:t>
      </w:r>
      <w:r>
        <w:rPr>
          <w:rFonts w:hint="eastAsia" w:ascii="宋体" w:hAnsi="宋体" w:eastAsia="宋体" w:cs="宋体"/>
          <w:b w:val="0"/>
          <w:bCs w:val="0"/>
          <w:sz w:val="24"/>
          <w:lang w:eastAsia="zh-CN"/>
        </w:rPr>
        <w:t>，锥形体设计，更稳固。</w:t>
      </w:r>
    </w:p>
    <w:p w14:paraId="7184E674">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3、击打时，有真人版、动画版语音说话，引导训练者宣泄情绪。</w:t>
      </w:r>
    </w:p>
    <w:p w14:paraId="65B3FD00">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4、击打间隙过长，会有语音提示，提示宣泄者再次进行宣泄。</w:t>
      </w:r>
    </w:p>
    <w:p w14:paraId="45AA97DB">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5、具备超过 30 分钟无人宣泄，自动关闭系统的功能。</w:t>
      </w:r>
    </w:p>
    <w:p w14:paraId="1D78013C">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6、保护手套 1 副;环保材料制作，能保护发泄者手避免受伤。</w:t>
      </w:r>
    </w:p>
    <w:p w14:paraId="3DD5F72E">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7、宣泄人头套 2 个，分别为不同性别、不同表情。适合针对性的进行不同对象宣泄，使得宣泄更有针对性、更加畅快淋漓。</w:t>
      </w:r>
    </w:p>
    <w:p w14:paraId="55C2E828">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8、宣泄棒 2 根：弹性好，有保护性外套，可以保护使用者双手。绿色环保 EVA 制作，内置抗击打</w:t>
      </w:r>
      <w:r>
        <w:rPr>
          <w:rFonts w:hint="eastAsia" w:ascii="宋体" w:hAnsi="宋体" w:eastAsia="宋体" w:cs="宋体"/>
          <w:b w:val="0"/>
          <w:bCs w:val="0"/>
          <w:sz w:val="24"/>
          <w:lang w:val="en-US" w:eastAsia="zh-CN"/>
        </w:rPr>
        <w:t>≥</w:t>
      </w:r>
      <w:r>
        <w:rPr>
          <w:rFonts w:hint="eastAsia" w:ascii="宋体" w:hAnsi="宋体" w:eastAsia="宋体" w:cs="宋体"/>
          <w:b w:val="0"/>
          <w:bCs w:val="0"/>
          <w:sz w:val="24"/>
          <w:lang w:eastAsia="zh-CN"/>
        </w:rPr>
        <w:t xml:space="preserve"> 200kg 的 pvc 高弹棒。外用高级潜水服面料制作，无需充气、耐击打、环保。总长不少于 65cm ，粗端 7cm</w:t>
      </w:r>
      <w:r>
        <w:rPr>
          <w:rFonts w:hint="eastAsia" w:ascii="宋体" w:hAnsi="宋体" w:eastAsia="宋体" w:cs="宋体"/>
          <w:b w:val="0"/>
          <w:bCs w:val="0"/>
          <w:sz w:val="24"/>
          <w:lang w:val="en-US" w:eastAsia="zh-CN"/>
        </w:rPr>
        <w:t>±5mm</w:t>
      </w:r>
      <w:r>
        <w:rPr>
          <w:rFonts w:hint="eastAsia" w:ascii="宋体" w:hAnsi="宋体" w:eastAsia="宋体" w:cs="宋体"/>
          <w:b w:val="0"/>
          <w:bCs w:val="0"/>
          <w:sz w:val="24"/>
          <w:lang w:eastAsia="zh-CN"/>
        </w:rPr>
        <w:t>，细端 3.5cm</w:t>
      </w:r>
      <w:r>
        <w:rPr>
          <w:rFonts w:hint="eastAsia" w:ascii="宋体" w:hAnsi="宋体" w:eastAsia="宋体" w:cs="宋体"/>
          <w:b w:val="0"/>
          <w:bCs w:val="0"/>
          <w:sz w:val="24"/>
          <w:lang w:val="en-US" w:eastAsia="zh-CN"/>
        </w:rPr>
        <w:t>±5mm</w:t>
      </w:r>
      <w:r>
        <w:rPr>
          <w:rFonts w:hint="eastAsia" w:ascii="宋体" w:hAnsi="宋体" w:eastAsia="宋体" w:cs="宋体"/>
          <w:b w:val="0"/>
          <w:bCs w:val="0"/>
          <w:sz w:val="24"/>
          <w:lang w:eastAsia="zh-CN"/>
        </w:rPr>
        <w:t>，在抓手处有不少于 20cm 螺旋防滑纹。</w:t>
      </w:r>
    </w:p>
    <w:p w14:paraId="7D916C76">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9、宣泄挂图 2 幅（50*50cm，写真板材质）烘托宣泄氛围，激发宣泄情绪。</w:t>
      </w:r>
    </w:p>
    <w:p w14:paraId="564D7AFA">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10、储物凳 1 个，可以随机配送绿色、黑色、棕色、红色这 4 种颜色以存放头套及护手套等配套器材。</w:t>
      </w:r>
      <w:bookmarkStart w:id="2" w:name="_GoBack"/>
      <w:bookmarkEnd w:id="2"/>
    </w:p>
    <w:p w14:paraId="613C305D">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所投产品需提供具 CMA 标志甲醛检测报告。</w:t>
      </w:r>
    </w:p>
    <w:p w14:paraId="27F0F1E9">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所投产品需有害物质的检测报告（指令-SJ/T11365-2006（《电子信息产品中有毒有害物质的检测方法》测试：铅、镉、汞、六价铬等物质）。</w:t>
      </w:r>
    </w:p>
    <w:p w14:paraId="565EDEED">
      <w:pPr>
        <w:keepNext w:val="0"/>
        <w:keepLines w:val="0"/>
        <w:pageBreakBefore w:val="0"/>
        <w:numPr>
          <w:ilvl w:val="0"/>
          <w:numId w:val="1"/>
        </w:numPr>
        <w:tabs>
          <w:tab w:val="left" w:pos="229"/>
        </w:tabs>
        <w:kinsoku/>
        <w:wordWrap/>
        <w:overflowPunct/>
        <w:topLinePunct w:val="0"/>
        <w:autoSpaceDE/>
        <w:autoSpaceDN/>
        <w:bidi w:val="0"/>
        <w:spacing w:line="400" w:lineRule="exact"/>
        <w:rPr>
          <w:rFonts w:hint="eastAsia" w:ascii="宋体" w:hAnsi="宋体" w:eastAsia="宋体" w:cs="宋体"/>
          <w:b/>
          <w:bCs/>
          <w:sz w:val="24"/>
          <w:lang w:eastAsia="zh-CN"/>
        </w:rPr>
      </w:pPr>
      <w:r>
        <w:rPr>
          <w:rFonts w:hint="eastAsia" w:ascii="宋体" w:hAnsi="宋体" w:eastAsia="宋体" w:cs="宋体"/>
          <w:b/>
          <w:bCs/>
          <w:sz w:val="24"/>
          <w:lang w:eastAsia="zh-CN"/>
        </w:rPr>
        <w:t>智能体感互动宣泄系统：</w:t>
      </w:r>
    </w:p>
    <w:p w14:paraId="5FED84E2">
      <w:pPr>
        <w:keepNext w:val="0"/>
        <w:keepLines w:val="0"/>
        <w:pageBreakBefore w:val="0"/>
        <w:numPr>
          <w:ilvl w:val="0"/>
          <w:numId w:val="0"/>
        </w:numPr>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1.身心平衡训练  利用游戏的方式，依靠传感器捕捉三维空间中玩家的运动，不需要任何的辅助器材，控制游戏角色进行游戏训练，达到身心平衡训练的效果。</w:t>
      </w:r>
    </w:p>
    <w:p w14:paraId="13844D21">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2.辅助训练  通过传感器捕捉三维空间中玩家的运动，让使用者与虚拟角色实现肢体互动，并且系统可自动扑捉使用者过程中的一些经典动作，让使用发现互动交流中的愉悦，有助于辅助训练。</w:t>
      </w:r>
    </w:p>
    <w:p w14:paraId="13CD2727">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3.系统可实现多人互动宣泄，两个使用者分别扮演不同的角色，在游戏中实现合作,对打等等训练，有助于提高沟通配合能力。</w:t>
      </w:r>
    </w:p>
    <w:p w14:paraId="4B87DC4E">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4.康复训练 系统提供的具有交互性、竞争性及娱乐性的活动能增加使用者的积极参与互动的愿望，从而使被动的心理辅导成为使用者的主动参与互动，实现了心理咨询工作的及时发现、主动解决、预防突发的作用。</w:t>
      </w:r>
    </w:p>
    <w:p w14:paraId="67235258">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5.左右脑协调  奇幻漂流，可以通过身体的向左向右向前跳跃来控制漂流小船，达到左右大脑协调，还可以2个同时游戏。</w:t>
      </w:r>
    </w:p>
    <w:p w14:paraId="389FBD4C">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7.注意力矫正  忍者水果，可以通过手画动来切水果，当切到地雷游戏及结束，对注意力和肢体协调进行锻炼。</w:t>
      </w:r>
    </w:p>
    <w:p w14:paraId="64E10AAF">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lang w:eastAsia="zh-CN"/>
        </w:rPr>
      </w:pPr>
      <w:r>
        <w:rPr>
          <w:rFonts w:hint="eastAsia" w:ascii="宋体" w:hAnsi="宋体" w:eastAsia="宋体" w:cs="宋体"/>
          <w:sz w:val="24"/>
          <w:lang w:eastAsia="zh-CN"/>
        </w:rPr>
        <w:t>8.虚拟情绪宣泄  利用内置宣泄游戏（例如  拳击、击剑）等游戏进行不良情绪的宣泄。</w:t>
      </w:r>
    </w:p>
    <w:p w14:paraId="7777B9DC">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lang w:eastAsia="zh-CN"/>
        </w:rPr>
        <w:t>9.包含  切水果、脑力训练、穿墙越洞、注意力训练、体育运动、健身训练、舞蹈训练等活动不少于160项。</w:t>
      </w:r>
    </w:p>
    <w:p w14:paraId="7D608DF4">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sz w:val="24"/>
        </w:rPr>
      </w:pPr>
    </w:p>
    <w:p w14:paraId="7EC7D453">
      <w:pPr>
        <w:keepNext w:val="0"/>
        <w:keepLines w:val="0"/>
        <w:pageBreakBefore w:val="0"/>
        <w:tabs>
          <w:tab w:val="left" w:pos="229"/>
        </w:tabs>
        <w:kinsoku/>
        <w:wordWrap/>
        <w:overflowPunct/>
        <w:topLinePunct w:val="0"/>
        <w:autoSpaceDE/>
        <w:autoSpaceDN/>
        <w:bidi w:val="0"/>
        <w:spacing w:line="400" w:lineRule="exact"/>
        <w:rPr>
          <w:rFonts w:hint="eastAsia" w:ascii="宋体" w:hAnsi="宋体" w:eastAsia="宋体" w:cs="宋体"/>
          <w:b/>
          <w:bCs/>
          <w:sz w:val="24"/>
        </w:rPr>
      </w:pPr>
      <w:r>
        <w:rPr>
          <w:rFonts w:hint="eastAsia"/>
        </w:rPr>
        <w:t>★</w:t>
      </w:r>
      <w:r>
        <w:rPr>
          <w:rFonts w:hint="eastAsia" w:ascii="宋体" w:hAnsi="宋体" w:eastAsia="宋体" w:cs="宋体"/>
          <w:b/>
          <w:bCs/>
          <w:sz w:val="24"/>
        </w:rPr>
        <w:t>（二）商务要求</w:t>
      </w:r>
    </w:p>
    <w:p w14:paraId="68B46992">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1、交货期（合同履行期限）：自合同签订之日起</w:t>
      </w:r>
      <w:r>
        <w:rPr>
          <w:rFonts w:hint="eastAsia" w:ascii="宋体" w:hAnsi="宋体" w:eastAsia="宋体" w:cs="宋体"/>
          <w:sz w:val="24"/>
          <w:lang w:val="en-US" w:eastAsia="zh-CN"/>
        </w:rPr>
        <w:t>15</w:t>
      </w:r>
      <w:r>
        <w:rPr>
          <w:rFonts w:hint="eastAsia" w:ascii="宋体" w:hAnsi="宋体" w:eastAsia="宋体" w:cs="宋体"/>
          <w:sz w:val="24"/>
        </w:rPr>
        <w:t>个日历天</w:t>
      </w:r>
    </w:p>
    <w:p w14:paraId="5378263F">
      <w:pPr>
        <w:keepNext w:val="0"/>
        <w:keepLines w:val="0"/>
        <w:pageBreakBefore w:val="0"/>
        <w:kinsoku/>
        <w:wordWrap/>
        <w:overflowPunct/>
        <w:topLinePunct w:val="0"/>
        <w:autoSpaceDE/>
        <w:autoSpaceDN/>
        <w:bidi w:val="0"/>
        <w:spacing w:line="400" w:lineRule="exact"/>
        <w:rPr>
          <w:rFonts w:hint="eastAsia" w:ascii="宋体" w:hAnsi="宋体" w:eastAsia="宋体" w:cs="Tahoma"/>
          <w:bCs/>
          <w:sz w:val="24"/>
        </w:rPr>
      </w:pPr>
      <w:r>
        <w:rPr>
          <w:rFonts w:hint="eastAsia" w:ascii="宋体" w:hAnsi="宋体" w:eastAsia="宋体" w:cs="宋体"/>
          <w:sz w:val="24"/>
        </w:rPr>
        <w:t>2、付款要求：</w:t>
      </w:r>
      <w:r>
        <w:rPr>
          <w:rFonts w:hint="eastAsia" w:ascii="宋体" w:hAnsi="宋体" w:eastAsia="宋体" w:cs="Tahoma"/>
          <w:bCs/>
          <w:sz w:val="24"/>
        </w:rPr>
        <w:t>双方签订合同后，甲方按合同支付70%预付款，乙方将货物全部运到甲方指定地点并安装，调试，培训完毕，经双方验收合格后，按照合同支付剩下的进度款30%，乙方通过银行质保函方式预留 3%合同金额，最终验收完成一年后设备无质量问题银行方可支付给乙方。</w:t>
      </w:r>
    </w:p>
    <w:p w14:paraId="64B67F65">
      <w:pPr>
        <w:keepNext w:val="0"/>
        <w:keepLines w:val="0"/>
        <w:pageBreakBefore w:val="0"/>
        <w:tabs>
          <w:tab w:val="left" w:pos="443"/>
        </w:tabs>
        <w:kinsoku/>
        <w:wordWrap/>
        <w:overflowPunct/>
        <w:topLinePunct w:val="0"/>
        <w:autoSpaceDE/>
        <w:autoSpaceDN/>
        <w:bidi w:val="0"/>
        <w:spacing w:line="400" w:lineRule="exact"/>
        <w:rPr>
          <w:rFonts w:hint="eastAsia" w:ascii="宋体" w:hAnsi="宋体" w:eastAsia="宋体" w:cs="宋体"/>
          <w:b/>
          <w:bCs/>
          <w:sz w:val="24"/>
        </w:rPr>
      </w:pPr>
      <w:r>
        <w:rPr>
          <w:rFonts w:hint="eastAsia"/>
        </w:rPr>
        <w:t>★</w:t>
      </w:r>
      <w:r>
        <w:rPr>
          <w:rFonts w:hint="eastAsia" w:ascii="宋体" w:hAnsi="宋体" w:eastAsia="宋体" w:cs="宋体"/>
          <w:b/>
          <w:bCs/>
          <w:sz w:val="24"/>
        </w:rPr>
        <w:t>（三）其他要求</w:t>
      </w:r>
    </w:p>
    <w:p w14:paraId="5192A86C">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1、质量要求：符合国家现行标准和技术规范。</w:t>
      </w:r>
    </w:p>
    <w:p w14:paraId="458A7563">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2、售后要求</w:t>
      </w:r>
    </w:p>
    <w:p w14:paraId="5B7D7ABD">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2.1质保期：≥2年。</w:t>
      </w:r>
    </w:p>
    <w:p w14:paraId="0B0A73CC">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2.2培训服务：免费提供操作培训（≥2次，含现场指导及线上课程）。</w:t>
      </w:r>
    </w:p>
    <w:p w14:paraId="5185C214">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2.3技术支持：在保修期间提供免费保修，7*24 小时上门服务，免费更换故障配件。提供 7*24小时技术支持和服务，免费质保期内，保证在接到故障电话后响应时间 1 小时内，如需现场解决，保证48小时内派出技术服务人员赶到现场。规定时间内未处理完毕的，供应商提供不低于同等档次设备供用户使用至故障设备正常使用为止。如果需要更换配件的，要求更换的配件跟被更换的品牌、类型相一致或者是同类同档次的替代品，后者需征得用户方管理人员同意。</w:t>
      </w:r>
    </w:p>
    <w:p w14:paraId="25A51548">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r>
        <w:rPr>
          <w:rFonts w:hint="eastAsia" w:ascii="宋体" w:hAnsi="宋体" w:eastAsia="宋体" w:cs="宋体"/>
          <w:sz w:val="24"/>
        </w:rPr>
        <w:t>2.4对质保期内的故障报修，如供应商未能做到上款的服务承诺，采购人可采取必要的补救措施，但其风险和费用由供应商承担，由于供应商的保证服务不到位，质保期的到期时间将顺延。</w:t>
      </w:r>
    </w:p>
    <w:p w14:paraId="4B3EDA04">
      <w:pPr>
        <w:keepNext w:val="0"/>
        <w:keepLines w:val="0"/>
        <w:pageBreakBefore w:val="0"/>
        <w:kinsoku/>
        <w:wordWrap/>
        <w:overflowPunct/>
        <w:topLinePunct w:val="0"/>
        <w:autoSpaceDE/>
        <w:autoSpaceDN/>
        <w:bidi w:val="0"/>
        <w:spacing w:line="400" w:lineRule="exact"/>
        <w:rPr>
          <w:rFonts w:hint="eastAsia" w:ascii="宋体" w:hAnsi="宋体" w:eastAsia="宋体" w:cs="宋体"/>
          <w:sz w:val="24"/>
        </w:rPr>
      </w:pPr>
    </w:p>
    <w:p w14:paraId="505761B3">
      <w:pPr>
        <w:pStyle w:val="29"/>
        <w:keepNext w:val="0"/>
        <w:keepLines w:val="0"/>
        <w:pageBreakBefore w:val="0"/>
        <w:numPr>
          <w:ilvl w:val="0"/>
          <w:numId w:val="2"/>
        </w:numPr>
        <w:kinsoku/>
        <w:wordWrap/>
        <w:overflowPunct/>
        <w:topLinePunct w:val="0"/>
        <w:autoSpaceDE/>
        <w:autoSpaceDN/>
        <w:bidi w:val="0"/>
        <w:spacing w:line="400" w:lineRule="exact"/>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技术参数中尺寸规格等参数未明确允许偏差的按±2%作为允许偏差。带“▲”为重要技术参数条款，带“★”为不可偏离的实质性条款。</w:t>
      </w:r>
    </w:p>
    <w:p w14:paraId="4349C980">
      <w:pPr>
        <w:pStyle w:val="29"/>
        <w:keepNext w:val="0"/>
        <w:keepLines w:val="0"/>
        <w:pageBreakBefore w:val="0"/>
        <w:numPr>
          <w:ilvl w:val="0"/>
          <w:numId w:val="2"/>
        </w:numPr>
        <w:kinsoku/>
        <w:wordWrap/>
        <w:overflowPunct/>
        <w:topLinePunct w:val="0"/>
        <w:autoSpaceDE/>
        <w:autoSpaceDN/>
        <w:bidi w:val="0"/>
        <w:spacing w:line="400" w:lineRule="exact"/>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所列各产品的最高单价限价，供应商报价不得超出，有超出的视为无效响应。</w:t>
      </w:r>
    </w:p>
    <w:p w14:paraId="430D1883">
      <w:pPr>
        <w:keepNext w:val="0"/>
        <w:keepLines w:val="0"/>
        <w:pageBreakBefore w:val="0"/>
        <w:kinsoku/>
        <w:wordWrap/>
        <w:overflowPunct/>
        <w:topLinePunct w:val="0"/>
        <w:autoSpaceDE/>
        <w:autoSpaceDN/>
        <w:bidi w:val="0"/>
        <w:spacing w:line="400" w:lineRule="exact"/>
        <w:rPr>
          <w:rFonts w:hint="eastAsia" w:ascii="宋体" w:hAnsi="宋体" w:eastAsia="宋体" w:cs="宋体"/>
        </w:rPr>
      </w:pPr>
    </w:p>
    <w:p w14:paraId="6C8BDB6A">
      <w:pPr>
        <w:keepNext w:val="0"/>
        <w:keepLines w:val="0"/>
        <w:pageBreakBefore w:val="0"/>
        <w:kinsoku/>
        <w:wordWrap/>
        <w:overflowPunct/>
        <w:topLinePunct w:val="0"/>
        <w:autoSpaceDE/>
        <w:autoSpaceDN/>
        <w:bidi w:val="0"/>
        <w:spacing w:line="400" w:lineRule="exact"/>
        <w:rPr>
          <w:rFonts w:hint="eastAsia" w:ascii="宋体" w:hAnsi="宋体" w:eastAsia="宋体" w:cs="宋体"/>
        </w:rPr>
      </w:pPr>
    </w:p>
    <w:p w14:paraId="1CB9D671">
      <w:pPr>
        <w:keepNext w:val="0"/>
        <w:keepLines w:val="0"/>
        <w:pageBreakBefore w:val="0"/>
        <w:kinsoku/>
        <w:wordWrap/>
        <w:overflowPunct/>
        <w:topLinePunct w:val="0"/>
        <w:autoSpaceDE/>
        <w:autoSpaceDN/>
        <w:bidi w:val="0"/>
        <w:spacing w:line="400" w:lineRule="exact"/>
        <w:rPr>
          <w:rFonts w:hint="default" w:eastAsiaTheme="minorEastAsia"/>
          <w:b/>
          <w:bCs/>
          <w:sz w:val="28"/>
          <w:szCs w:val="28"/>
          <w:lang w:val="en-US" w:eastAsia="zh-CN"/>
        </w:rPr>
      </w:pPr>
    </w:p>
    <w:sectPr>
      <w:footerReference r:id="rId3" w:type="default"/>
      <w:pgSz w:w="11906" w:h="16838"/>
      <w:pgMar w:top="1440" w:right="1133"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行楷 ! important">
    <w:altName w:val="楷体_GB2312"/>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28FD9">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3E86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B33E86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AAB1E"/>
    <w:multiLevelType w:val="singleLevel"/>
    <w:tmpl w:val="FFEAAB1E"/>
    <w:lvl w:ilvl="0" w:tentative="0">
      <w:start w:val="3"/>
      <w:numFmt w:val="chineseCounting"/>
      <w:suff w:val="nothing"/>
      <w:lvlText w:val="（%1）"/>
      <w:lvlJc w:val="left"/>
      <w:rPr>
        <w:rFonts w:hint="eastAsia"/>
      </w:rPr>
    </w:lvl>
  </w:abstractNum>
  <w:abstractNum w:abstractNumId="1">
    <w:nsid w:val="156F750F"/>
    <w:multiLevelType w:val="multilevel"/>
    <w:tmpl w:val="156F750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kZDI4MWNiMGFhYjhkODEyMWM5OTA3NmE5ZTNhMTcifQ=="/>
  </w:docVars>
  <w:rsids>
    <w:rsidRoot w:val="00172A27"/>
    <w:rsid w:val="00002A68"/>
    <w:rsid w:val="00007D30"/>
    <w:rsid w:val="00016699"/>
    <w:rsid w:val="00056B9A"/>
    <w:rsid w:val="00073340"/>
    <w:rsid w:val="000751DB"/>
    <w:rsid w:val="000F00B5"/>
    <w:rsid w:val="001573FF"/>
    <w:rsid w:val="00172A27"/>
    <w:rsid w:val="001858EA"/>
    <w:rsid w:val="00197405"/>
    <w:rsid w:val="001D41C8"/>
    <w:rsid w:val="00224E3F"/>
    <w:rsid w:val="00225468"/>
    <w:rsid w:val="002254FE"/>
    <w:rsid w:val="00230648"/>
    <w:rsid w:val="0027061D"/>
    <w:rsid w:val="00290CF3"/>
    <w:rsid w:val="002B21EB"/>
    <w:rsid w:val="002C30DE"/>
    <w:rsid w:val="002D4161"/>
    <w:rsid w:val="002E16F0"/>
    <w:rsid w:val="002F7CDF"/>
    <w:rsid w:val="003268BD"/>
    <w:rsid w:val="00375B75"/>
    <w:rsid w:val="00392E16"/>
    <w:rsid w:val="003D1650"/>
    <w:rsid w:val="003E2650"/>
    <w:rsid w:val="00407ECB"/>
    <w:rsid w:val="00417ED7"/>
    <w:rsid w:val="004203FB"/>
    <w:rsid w:val="0042161F"/>
    <w:rsid w:val="004367E3"/>
    <w:rsid w:val="0047158F"/>
    <w:rsid w:val="004A6858"/>
    <w:rsid w:val="004B5DC1"/>
    <w:rsid w:val="004C229F"/>
    <w:rsid w:val="004D5F52"/>
    <w:rsid w:val="004E29CD"/>
    <w:rsid w:val="00514464"/>
    <w:rsid w:val="00514F63"/>
    <w:rsid w:val="0054727D"/>
    <w:rsid w:val="005606B1"/>
    <w:rsid w:val="0058688C"/>
    <w:rsid w:val="00597132"/>
    <w:rsid w:val="005A498B"/>
    <w:rsid w:val="005C13D5"/>
    <w:rsid w:val="00601F66"/>
    <w:rsid w:val="0062382C"/>
    <w:rsid w:val="00635417"/>
    <w:rsid w:val="006866D5"/>
    <w:rsid w:val="00686D49"/>
    <w:rsid w:val="0069110E"/>
    <w:rsid w:val="006916B1"/>
    <w:rsid w:val="006939D8"/>
    <w:rsid w:val="006B20C9"/>
    <w:rsid w:val="006B4241"/>
    <w:rsid w:val="006B5D17"/>
    <w:rsid w:val="006C4163"/>
    <w:rsid w:val="006E30E7"/>
    <w:rsid w:val="006F49C9"/>
    <w:rsid w:val="007135B1"/>
    <w:rsid w:val="00717168"/>
    <w:rsid w:val="00723DAF"/>
    <w:rsid w:val="0075298C"/>
    <w:rsid w:val="00757DF2"/>
    <w:rsid w:val="00774576"/>
    <w:rsid w:val="007B50BA"/>
    <w:rsid w:val="007D70E7"/>
    <w:rsid w:val="008021DB"/>
    <w:rsid w:val="008051A6"/>
    <w:rsid w:val="00825B2A"/>
    <w:rsid w:val="0083190C"/>
    <w:rsid w:val="0085788B"/>
    <w:rsid w:val="00880576"/>
    <w:rsid w:val="008E33A8"/>
    <w:rsid w:val="009030C3"/>
    <w:rsid w:val="0092097B"/>
    <w:rsid w:val="00942CFF"/>
    <w:rsid w:val="00996F0F"/>
    <w:rsid w:val="009E04F9"/>
    <w:rsid w:val="009F42C3"/>
    <w:rsid w:val="009F7714"/>
    <w:rsid w:val="00A01810"/>
    <w:rsid w:val="00A148CE"/>
    <w:rsid w:val="00A15D84"/>
    <w:rsid w:val="00A36B87"/>
    <w:rsid w:val="00A51E52"/>
    <w:rsid w:val="00A550B5"/>
    <w:rsid w:val="00A762BB"/>
    <w:rsid w:val="00A80007"/>
    <w:rsid w:val="00A8198D"/>
    <w:rsid w:val="00AE6FA4"/>
    <w:rsid w:val="00B24C8C"/>
    <w:rsid w:val="00B24DDB"/>
    <w:rsid w:val="00B35796"/>
    <w:rsid w:val="00B35F39"/>
    <w:rsid w:val="00B57107"/>
    <w:rsid w:val="00BB3E87"/>
    <w:rsid w:val="00C17212"/>
    <w:rsid w:val="00C20672"/>
    <w:rsid w:val="00C24F94"/>
    <w:rsid w:val="00C3277A"/>
    <w:rsid w:val="00C37DE5"/>
    <w:rsid w:val="00C869EA"/>
    <w:rsid w:val="00C96800"/>
    <w:rsid w:val="00CE3C39"/>
    <w:rsid w:val="00D1093B"/>
    <w:rsid w:val="00D17A40"/>
    <w:rsid w:val="00D27E23"/>
    <w:rsid w:val="00D6677D"/>
    <w:rsid w:val="00DB58CD"/>
    <w:rsid w:val="00DD1C7E"/>
    <w:rsid w:val="00DD23BA"/>
    <w:rsid w:val="00DD27D5"/>
    <w:rsid w:val="00DE6A67"/>
    <w:rsid w:val="00DF5E70"/>
    <w:rsid w:val="00DF6B8C"/>
    <w:rsid w:val="00E03A2B"/>
    <w:rsid w:val="00E163D3"/>
    <w:rsid w:val="00E567FD"/>
    <w:rsid w:val="00E60AC9"/>
    <w:rsid w:val="00E7344F"/>
    <w:rsid w:val="00E8605A"/>
    <w:rsid w:val="00E873B6"/>
    <w:rsid w:val="00EC3329"/>
    <w:rsid w:val="00EC4855"/>
    <w:rsid w:val="00F100E4"/>
    <w:rsid w:val="00F15DF0"/>
    <w:rsid w:val="00F33945"/>
    <w:rsid w:val="00F6115C"/>
    <w:rsid w:val="00F90246"/>
    <w:rsid w:val="00F90E33"/>
    <w:rsid w:val="00FA79CC"/>
    <w:rsid w:val="00FB175E"/>
    <w:rsid w:val="00FC4ED9"/>
    <w:rsid w:val="00FC79C0"/>
    <w:rsid w:val="00FE2795"/>
    <w:rsid w:val="00FE4FA8"/>
    <w:rsid w:val="00FF70F1"/>
    <w:rsid w:val="02483B7E"/>
    <w:rsid w:val="084108E2"/>
    <w:rsid w:val="08D30740"/>
    <w:rsid w:val="0CFA6C68"/>
    <w:rsid w:val="0E3A1EE7"/>
    <w:rsid w:val="125C0E88"/>
    <w:rsid w:val="139C67BB"/>
    <w:rsid w:val="15CD4307"/>
    <w:rsid w:val="16BD4B82"/>
    <w:rsid w:val="189C55AE"/>
    <w:rsid w:val="1A2331F1"/>
    <w:rsid w:val="1ACB68E1"/>
    <w:rsid w:val="1F2F7A33"/>
    <w:rsid w:val="21F506B8"/>
    <w:rsid w:val="22001566"/>
    <w:rsid w:val="2480215C"/>
    <w:rsid w:val="25713D7E"/>
    <w:rsid w:val="271F5B74"/>
    <w:rsid w:val="2B553610"/>
    <w:rsid w:val="2BAC0068"/>
    <w:rsid w:val="304E2B10"/>
    <w:rsid w:val="31622A46"/>
    <w:rsid w:val="328F7937"/>
    <w:rsid w:val="33472E23"/>
    <w:rsid w:val="339A20B4"/>
    <w:rsid w:val="35796346"/>
    <w:rsid w:val="365D6581"/>
    <w:rsid w:val="36C41867"/>
    <w:rsid w:val="383826D7"/>
    <w:rsid w:val="38E155D3"/>
    <w:rsid w:val="3D2A7C5F"/>
    <w:rsid w:val="41445A42"/>
    <w:rsid w:val="42F3370E"/>
    <w:rsid w:val="45EB2FC3"/>
    <w:rsid w:val="4B2E13A1"/>
    <w:rsid w:val="4B6828E5"/>
    <w:rsid w:val="4BBA7A8E"/>
    <w:rsid w:val="4BC6685F"/>
    <w:rsid w:val="4C172046"/>
    <w:rsid w:val="4FD33566"/>
    <w:rsid w:val="51E2008C"/>
    <w:rsid w:val="5EE17A4E"/>
    <w:rsid w:val="6A9932D3"/>
    <w:rsid w:val="70182BA3"/>
    <w:rsid w:val="78FE18D7"/>
    <w:rsid w:val="7AAC0129"/>
    <w:rsid w:val="7AED1418"/>
    <w:rsid w:val="7B196E8B"/>
    <w:rsid w:val="7B6B280D"/>
    <w:rsid w:val="7BC83983"/>
    <w:rsid w:val="7D8F5C8E"/>
    <w:rsid w:val="7E4028A1"/>
    <w:rsid w:val="7E561182"/>
    <w:rsid w:val="FD9E0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1"/>
    <w:pPr>
      <w:autoSpaceDE w:val="0"/>
      <w:autoSpaceDN w:val="0"/>
      <w:ind w:left="118"/>
      <w:jc w:val="left"/>
      <w:outlineLvl w:val="1"/>
    </w:pPr>
    <w:rPr>
      <w:rFonts w:ascii="宋体" w:hAnsi="宋体" w:eastAsia="宋体" w:cs="宋体"/>
      <w:b/>
      <w:bCs/>
      <w:kern w:val="0"/>
      <w:sz w:val="28"/>
      <w:szCs w:val="28"/>
      <w:lang w:val="zh-CN" w:bidi="zh-CN"/>
    </w:rPr>
  </w:style>
  <w:style w:type="paragraph" w:styleId="4">
    <w:name w:val="heading 3"/>
    <w:basedOn w:val="1"/>
    <w:next w:val="1"/>
    <w:qFormat/>
    <w:uiPriority w:val="1"/>
    <w:pPr>
      <w:autoSpaceDE w:val="0"/>
      <w:autoSpaceDN w:val="0"/>
      <w:ind w:left="118"/>
      <w:jc w:val="left"/>
      <w:outlineLvl w:val="2"/>
    </w:pPr>
    <w:rPr>
      <w:rFonts w:ascii="宋体" w:hAnsi="宋体" w:eastAsia="宋体" w:cs="宋体"/>
      <w:b/>
      <w:bCs/>
      <w:kern w:val="0"/>
      <w:sz w:val="16"/>
      <w:szCs w:val="16"/>
      <w:u w:color="000000"/>
      <w:lang w:val="zh-CN" w:bidi="zh-CN"/>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 w:val="24"/>
    </w:rPr>
  </w:style>
  <w:style w:type="paragraph" w:styleId="7">
    <w:name w:val="annotation text"/>
    <w:basedOn w:val="1"/>
    <w:qFormat/>
    <w:uiPriority w:val="0"/>
    <w:rPr>
      <w:kern w:val="0"/>
    </w:rPr>
  </w:style>
  <w:style w:type="paragraph" w:styleId="8">
    <w:name w:val="Body Text"/>
    <w:basedOn w:val="1"/>
    <w:link w:val="34"/>
    <w:qFormat/>
    <w:uiPriority w:val="1"/>
    <w:pPr>
      <w:autoSpaceDE w:val="0"/>
      <w:autoSpaceDN w:val="0"/>
      <w:spacing w:before="43"/>
      <w:ind w:left="118"/>
      <w:jc w:val="left"/>
    </w:pPr>
    <w:rPr>
      <w:rFonts w:ascii="宋体" w:hAnsi="宋体" w:eastAsia="宋体" w:cs="宋体"/>
      <w:kern w:val="0"/>
      <w:sz w:val="16"/>
      <w:szCs w:val="16"/>
      <w:lang w:val="zh-CN" w:bidi="zh-CN"/>
    </w:rPr>
  </w:style>
  <w:style w:type="paragraph" w:styleId="9">
    <w:name w:val="Plain Text"/>
    <w:basedOn w:val="1"/>
    <w:next w:val="1"/>
    <w:qFormat/>
    <w:uiPriority w:val="0"/>
    <w:rPr>
      <w:rFonts w:ascii="宋体"/>
      <w:szCs w:val="20"/>
    </w:rPr>
  </w:style>
  <w:style w:type="paragraph" w:styleId="10">
    <w:name w:val="footer"/>
    <w:basedOn w:val="1"/>
    <w:link w:val="33"/>
    <w:qFormat/>
    <w:uiPriority w:val="0"/>
    <w:pPr>
      <w:tabs>
        <w:tab w:val="center" w:pos="4153"/>
        <w:tab w:val="right" w:pos="8306"/>
      </w:tabs>
      <w:snapToGrid w:val="0"/>
      <w:jc w:val="left"/>
    </w:pPr>
    <w:rPr>
      <w:sz w:val="18"/>
      <w:szCs w:val="18"/>
    </w:rPr>
  </w:style>
  <w:style w:type="paragraph" w:styleId="11">
    <w:name w:val="header"/>
    <w:basedOn w:val="1"/>
    <w:link w:val="32"/>
    <w:qFormat/>
    <w:uiPriority w:val="0"/>
    <w:pP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FollowedHyperlink"/>
    <w:basedOn w:val="16"/>
    <w:qFormat/>
    <w:uiPriority w:val="0"/>
    <w:rPr>
      <w:color w:val="800080"/>
      <w:u w:val="single"/>
    </w:rPr>
  </w:style>
  <w:style w:type="character" w:styleId="19">
    <w:name w:val="Emphasis"/>
    <w:basedOn w:val="16"/>
    <w:qFormat/>
    <w:uiPriority w:val="0"/>
  </w:style>
  <w:style w:type="character" w:styleId="20">
    <w:name w:val="HTML Definition"/>
    <w:basedOn w:val="16"/>
    <w:autoRedefine/>
    <w:qFormat/>
    <w:uiPriority w:val="0"/>
  </w:style>
  <w:style w:type="character" w:styleId="21">
    <w:name w:val="HTML Variable"/>
    <w:basedOn w:val="16"/>
    <w:qFormat/>
    <w:uiPriority w:val="0"/>
  </w:style>
  <w:style w:type="character" w:styleId="22">
    <w:name w:val="Hyperlink"/>
    <w:basedOn w:val="16"/>
    <w:qFormat/>
    <w:uiPriority w:val="0"/>
    <w:rPr>
      <w:color w:val="0000FF"/>
      <w:u w:val="single"/>
    </w:rPr>
  </w:style>
  <w:style w:type="character" w:styleId="23">
    <w:name w:val="HTML Code"/>
    <w:basedOn w:val="16"/>
    <w:qFormat/>
    <w:uiPriority w:val="0"/>
    <w:rPr>
      <w:rFonts w:ascii="Courier New" w:hAnsi="Courier New"/>
      <w:sz w:val="20"/>
    </w:rPr>
  </w:style>
  <w:style w:type="character" w:styleId="24">
    <w:name w:val="annotation reference"/>
    <w:qFormat/>
    <w:uiPriority w:val="0"/>
    <w:rPr>
      <w:sz w:val="21"/>
      <w:szCs w:val="21"/>
    </w:rPr>
  </w:style>
  <w:style w:type="character" w:styleId="25">
    <w:name w:val="HTML Cite"/>
    <w:basedOn w:val="16"/>
    <w:qFormat/>
    <w:uiPriority w:val="0"/>
  </w:style>
  <w:style w:type="paragraph" w:customStyle="1" w:styleId="26">
    <w:name w:val="表格文字"/>
    <w:basedOn w:val="1"/>
    <w:autoRedefine/>
    <w:qFormat/>
    <w:uiPriority w:val="0"/>
    <w:pPr>
      <w:spacing w:before="25" w:after="25"/>
      <w:jc w:val="left"/>
    </w:pPr>
    <w:rPr>
      <w:bCs/>
      <w:spacing w:val="10"/>
      <w:kern w:val="0"/>
      <w:sz w:val="24"/>
      <w:szCs w:val="20"/>
    </w:rPr>
  </w:style>
  <w:style w:type="table" w:customStyle="1" w:styleId="27">
    <w:name w:val="TableGrid"/>
    <w:autoRedefine/>
    <w:qFormat/>
    <w:uiPriority w:val="0"/>
    <w:tblPr>
      <w:tblCellMar>
        <w:top w:w="0" w:type="dxa"/>
        <w:left w:w="0" w:type="dxa"/>
        <w:bottom w:w="0" w:type="dxa"/>
        <w:right w:w="0" w:type="dxa"/>
      </w:tblCellMar>
    </w:tblPr>
  </w:style>
  <w:style w:type="paragraph" w:customStyle="1" w:styleId="28">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styleId="29">
    <w:name w:val="List Paragraph"/>
    <w:basedOn w:val="1"/>
    <w:qFormat/>
    <w:uiPriority w:val="1"/>
    <w:pPr>
      <w:ind w:firstLine="420" w:firstLineChars="200"/>
    </w:pPr>
  </w:style>
  <w:style w:type="paragraph" w:customStyle="1" w:styleId="3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2">
    <w:name w:val="页眉 字符"/>
    <w:basedOn w:val="16"/>
    <w:link w:val="11"/>
    <w:autoRedefine/>
    <w:qFormat/>
    <w:uiPriority w:val="0"/>
    <w:rPr>
      <w:rFonts w:asciiTheme="minorHAnsi" w:hAnsiTheme="minorHAnsi" w:eastAsiaTheme="minorEastAsia" w:cstheme="minorBidi"/>
      <w:kern w:val="2"/>
      <w:sz w:val="18"/>
      <w:szCs w:val="18"/>
    </w:rPr>
  </w:style>
  <w:style w:type="character" w:customStyle="1" w:styleId="33">
    <w:name w:val="页脚 字符"/>
    <w:basedOn w:val="16"/>
    <w:link w:val="10"/>
    <w:qFormat/>
    <w:uiPriority w:val="0"/>
    <w:rPr>
      <w:rFonts w:asciiTheme="minorHAnsi" w:hAnsiTheme="minorHAnsi" w:eastAsiaTheme="minorEastAsia" w:cstheme="minorBidi"/>
      <w:kern w:val="2"/>
      <w:sz w:val="18"/>
      <w:szCs w:val="18"/>
    </w:rPr>
  </w:style>
  <w:style w:type="character" w:customStyle="1" w:styleId="34">
    <w:name w:val="正文文本 字符"/>
    <w:basedOn w:val="16"/>
    <w:link w:val="8"/>
    <w:autoRedefine/>
    <w:qFormat/>
    <w:uiPriority w:val="1"/>
    <w:rPr>
      <w:rFonts w:ascii="宋体" w:hAnsi="宋体" w:cs="宋体"/>
      <w:sz w:val="16"/>
      <w:szCs w:val="16"/>
      <w:lang w:val="zh-CN" w:bidi="zh-CN"/>
    </w:rPr>
  </w:style>
  <w:style w:type="character" w:customStyle="1" w:styleId="35">
    <w:name w:val="name"/>
    <w:basedOn w:val="16"/>
    <w:qFormat/>
    <w:uiPriority w:val="0"/>
    <w:rPr>
      <w:rFonts w:ascii="华文行楷 ! important" w:hAnsi="华文行楷 ! important" w:eastAsia="华文行楷 ! important" w:cs="华文行楷 ! important"/>
      <w:sz w:val="27"/>
      <w:szCs w:val="27"/>
    </w:rPr>
  </w:style>
  <w:style w:type="character" w:customStyle="1" w:styleId="36">
    <w:name w:val="name1"/>
    <w:basedOn w:val="16"/>
    <w:qFormat/>
    <w:uiPriority w:val="0"/>
  </w:style>
  <w:style w:type="character" w:customStyle="1" w:styleId="37">
    <w:name w:val="x-tab-strip-text"/>
    <w:basedOn w:val="16"/>
    <w:qFormat/>
    <w:uiPriority w:val="0"/>
    <w:rPr>
      <w:rFonts w:ascii="Tahoma" w:hAnsi="Tahoma" w:eastAsia="Tahoma" w:cs="Tahoma"/>
      <w:color w:val="416AA3"/>
      <w:sz w:val="18"/>
      <w:szCs w:val="18"/>
    </w:rPr>
  </w:style>
  <w:style w:type="character" w:customStyle="1" w:styleId="38">
    <w:name w:val="x-tab-strip-text1"/>
    <w:basedOn w:val="16"/>
    <w:qFormat/>
    <w:uiPriority w:val="0"/>
  </w:style>
  <w:style w:type="character" w:customStyle="1" w:styleId="39">
    <w:name w:val="x-tab-strip-text2"/>
    <w:basedOn w:val="16"/>
    <w:qFormat/>
    <w:uiPriority w:val="0"/>
    <w:rPr>
      <w:color w:val="15428B"/>
    </w:rPr>
  </w:style>
  <w:style w:type="character" w:customStyle="1" w:styleId="40">
    <w:name w:val="x-tab-strip-text3"/>
    <w:basedOn w:val="16"/>
    <w:qFormat/>
    <w:uiPriority w:val="0"/>
    <w:rPr>
      <w:b/>
      <w:bCs/>
      <w:color w:val="15428B"/>
    </w:rPr>
  </w:style>
  <w:style w:type="character" w:customStyle="1" w:styleId="41">
    <w:name w:val="x-tab-strip-text4"/>
    <w:basedOn w:val="16"/>
    <w:qFormat/>
    <w:uiPriority w:val="0"/>
  </w:style>
  <w:style w:type="character" w:customStyle="1" w:styleId="42">
    <w:name w:val="x-tab-strip-text5"/>
    <w:basedOn w:val="16"/>
    <w:qFormat/>
    <w:uiPriority w:val="0"/>
  </w:style>
  <w:style w:type="character" w:customStyle="1" w:styleId="43">
    <w:name w:val="opinion2"/>
    <w:basedOn w:val="16"/>
    <w:qFormat/>
    <w:uiPriority w:val="0"/>
    <w:rPr>
      <w:vanish/>
    </w:rPr>
  </w:style>
  <w:style w:type="character" w:customStyle="1" w:styleId="44">
    <w:name w:val="font21"/>
    <w:basedOn w:val="16"/>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4</Pages>
  <Words>3184</Words>
  <Characters>3414</Characters>
  <Lines>12</Lines>
  <Paragraphs>3</Paragraphs>
  <TotalTime>5</TotalTime>
  <ScaleCrop>false</ScaleCrop>
  <LinksUpToDate>false</LinksUpToDate>
  <CharactersWithSpaces>3494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2024-12-10T00:16:00Z</dcterms:created>
  <dc:creator>简若</dc:creator>
  <cp:lastModifiedBy>爆炸的榴莲</cp:lastModifiedBy>
  <dcterms:modified xsi:type="dcterms:W3CDTF">2025-06-16T03:24:34Z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02A42B9093834E40918710D18619858B_13</vt:lpwstr>
  </property>
  <property fmtid="{D5CDD505-2E9C-101B-9397-08002B2CF9AE}" pid="4" name="KSOTemplateDocerSaveRecord">
    <vt:lpwstr>eyJoZGlkIjoiZWI3YmQ5MTViNjhmZjEwYmQ2MjAwMjgzOGExOGY3MzEiLCJ1c2VySWQiOiIzODE2OTQwOTYifQ==</vt:lpwstr>
  </property>
</Properties>
</file>